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ДЛЯ ЯКОГО ВИПАДКУ ЦЕЙ ДОГОВІР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Продавців ДВОЄ: фізична особа і ЮРИДИЧНА особа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Покупець — фізична особа</w:t>
            </w:r>
          </w:p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Розрахунок повністю ДО підписання</w:t>
            </w:r>
          </w:p>
        </w:tc>
      </w:tr>
    </w:tbl>
    <w:p>
      <w:pPr>
        <w:spacing w:after="180"/>
      </w:pPr>
    </w:p>
    <w:p>
      <w:pPr>
        <w:spacing w:after="60" w:before="160"/>
        <w:jc w:val="center"/>
      </w:pPr>
      <w:r>
        <w:rPr>
          <w:b/>
          <w:bCs/>
          <w:sz w:val="28"/>
          <w:szCs w:val="28"/>
        </w:rPr>
        <w:t xml:space="preserve">ДОГОВІР № </w:t>
      </w:r>
      <w:r>
        <w:rPr>
          <w:b/>
          <w:bCs/>
          <w:shd w:fill="FFF176" w:val="clear"/>
        </w:rPr>
        <w:t xml:space="preserve">1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купівлі-продажу частки у статутному капіталі</w:t>
      </w:r>
    </w:p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ТОВАРИСТВО З ОБМЕЖЕНОЮ ВІДПОВІДАЛЬНІСТЮ «АТМАКАЛІ»</w:t>
      </w:r>
    </w:p>
    <w:p>
      <w:pPr>
        <w:spacing w:after="40"/>
        <w:jc w:val="center"/>
      </w:pPr>
      <w:r>
        <w:rPr>
          <w:b/>
          <w:bCs/>
          <w:sz w:val="20"/>
          <w:szCs w:val="20"/>
        </w:rPr>
        <w:t xml:space="preserve">(код ЄДРПОУ 44733622)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(надалі за текстом «Товариство»)</w:t>
      </w:r>
    </w:p>
    <w:p>
      <w:pPr>
        <w:tabs>
          <w:tab w:val="right" w:pos="9360"/>
        </w:tabs>
        <w:spacing w:after="220"/>
      </w:pPr>
      <w:r>
        <w:rPr>
          <w:i/>
          <w:iCs/>
        </w:rPr>
        <w:t xml:space="preserve">м. Київ</w:t>
      </w:r>
      <w:r>
        <w:t xml:space="preserve">	</w:t>
      </w:r>
      <w:r>
        <w:rPr>
          <w:b/>
          <w:bCs/>
          <w:shd w:fill="FFF176" w:val="clear"/>
        </w:rPr>
        <w:t xml:space="preserve">«17» серпня 2026 року</w:t>
      </w:r>
    </w:p>
    <w:p>
      <w:pPr>
        <w:spacing w:after="14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Любич Олексій Анатолійович</w:t>
      </w:r>
      <w:r>
        <w:t xml:space="preserve">, </w:t>
      </w:r>
      <w:r>
        <w:rPr>
          <w:b/>
          <w:bCs/>
          <w:shd w:fill="FFF176" w:val="clear"/>
        </w:rPr>
        <w:t xml:space="preserve">16 серпня 1986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3163916598</w:t>
      </w:r>
      <w:r>
        <w:t xml:space="preserve">, паспорт </w:t>
      </w:r>
      <w:r>
        <w:rPr>
          <w:b/>
          <w:bCs/>
          <w:shd w:fill="FFF176" w:val="clear"/>
        </w:rPr>
        <w:t xml:space="preserve">МЕ 177441</w:t>
      </w:r>
      <w:r>
        <w:t xml:space="preserve">, виданий </w:t>
      </w:r>
      <w:r>
        <w:rPr>
          <w:b/>
          <w:bCs/>
          <w:shd w:fill="FFF176" w:val="clear"/>
        </w:rPr>
        <w:t xml:space="preserve">Деснянським РУ ГУ МВС України в місті Києві</w:t>
      </w:r>
      <w:r>
        <w:t xml:space="preserve">, </w:t>
      </w:r>
      <w:r>
        <w:rPr>
          <w:b/>
          <w:bCs/>
          <w:shd w:fill="FFF176" w:val="clear"/>
        </w:rPr>
        <w:t xml:space="preserve">05 листопада 2002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02166, місто Київ, Деснянський район, вулиця Кубанської України, будинок 37, квартира 76</w:t>
      </w:r>
      <w:r>
        <w:t xml:space="preserve">, та</w:t>
      </w:r>
    </w:p>
    <w:p>
      <w:pPr>
        <w:spacing w:after="140"/>
      </w:pPr>
      <w:r>
        <w:t xml:space="preserve">Юридична особа — </w:t>
      </w:r>
      <w:r>
        <w:rPr>
          <w:b/>
          <w:bCs/>
          <w:shd w:fill="FFF176" w:val="clear"/>
        </w:rPr>
        <w:t xml:space="preserve">ТОВАРИСТВО З ОБМЕЖЕНОЮ ВІДПОВІДАЛЬНІСТЮ «ОРЛОГО»</w:t>
      </w:r>
      <w:r>
        <w:t xml:space="preserve">, ідентифікаційний код юридичної особи </w:t>
      </w:r>
      <w:r>
        <w:rPr>
          <w:b/>
          <w:bCs/>
          <w:shd w:fill="FFF176" w:val="clear"/>
        </w:rPr>
        <w:t xml:space="preserve">41694871</w:t>
      </w:r>
      <w:r>
        <w:t xml:space="preserve">, місцезнаходження: </w:t>
      </w:r>
      <w:r>
        <w:rPr>
          <w:b/>
          <w:bCs/>
          <w:shd w:fill="FFF176" w:val="clear"/>
        </w:rPr>
        <w:t xml:space="preserve">02095, місто Київ, Дарницький район, вулиця Княжий Затон, будинок 9А, офіс 369</w:t>
      </w:r>
      <w:r>
        <w:t xml:space="preserve">, в особі Директора </w:t>
      </w:r>
      <w:r>
        <w:rPr>
          <w:b/>
          <w:bCs/>
          <w:shd w:fill="FFF176" w:val="clear"/>
        </w:rPr>
        <w:t xml:space="preserve">Калігори Остапа Йосифовича</w:t>
      </w:r>
      <w:r>
        <w:t xml:space="preserve">, який діє на підставі </w:t>
      </w:r>
      <w:r>
        <w:rPr>
          <w:b/>
          <w:bCs/>
          <w:shd w:fill="FFF176" w:val="clear"/>
        </w:rPr>
        <w:t xml:space="preserve">Статуту</w:t>
      </w:r>
      <w:r>
        <w:t xml:space="preserve"> (разом далі — Продавці) з однієї сторони та</w:t>
      </w:r>
    </w:p>
    <w:p>
      <w:pPr>
        <w:spacing w:after="20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Сосонний Андрій Анатолійович</w:t>
      </w:r>
      <w:r>
        <w:t xml:space="preserve">, </w:t>
      </w:r>
      <w:r>
        <w:rPr>
          <w:b/>
          <w:bCs/>
          <w:shd w:fill="FFF176" w:val="clear"/>
        </w:rPr>
        <w:t xml:space="preserve">14 червня 1999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3632406930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010748472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19990614-08052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8012</w:t>
      </w:r>
      <w:r>
        <w:t xml:space="preserve">, </w:t>
      </w:r>
      <w:r>
        <w:rPr>
          <w:b/>
          <w:bCs/>
          <w:shd w:fill="FFF176" w:val="clear"/>
        </w:rPr>
        <w:t xml:space="preserve">26 червня 2024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07504, Київська область, Броварський район, село Борщів, вулиця Незалежності, будинок 13</w:t>
      </w:r>
      <w:r>
        <w:t xml:space="preserve"> (далі — Покупець) з іншої сторони уклали цей Договір про наступне: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1. ПРЕДМЕТ ДОГОВОРУ</w:t>
      </w:r>
    </w:p>
    <w:p>
      <w:pPr>
        <w:spacing w:after="70"/>
        <w:ind w:left="280"/>
      </w:pPr>
      <w:r>
        <w:t xml:space="preserve">1.1. Продавці передають у власність Покупцю, а Покупець приймає та оплачує частки у статутному капіталі Товариства загальним розміром </w:t>
      </w:r>
      <w:r>
        <w:rPr>
          <w:b/>
          <w:bCs/>
          <w:shd w:fill="FFF176" w:val="clear"/>
        </w:rPr>
        <w:t xml:space="preserve">666 199 (шістсот шістдесят шість тисяч сто дев’яносто дев’ять) гривень 96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100 %</w:t>
      </w:r>
      <w:r>
        <w:t xml:space="preserve"> статутного капіталу Товариства (далі — Частка).</w:t>
      </w:r>
    </w:p>
    <w:p>
      <w:pPr>
        <w:spacing w:after="70"/>
        <w:ind w:left="280"/>
      </w:pPr>
      <w:r>
        <w:t xml:space="preserve">1.2. </w:t>
      </w:r>
      <w:r>
        <w:rPr>
          <w:b/>
          <w:bCs/>
          <w:shd w:fill="FFF176" w:val="clear"/>
        </w:rPr>
        <w:t xml:space="preserve">Любич Олексій Анатолійович</w:t>
      </w:r>
      <w:r>
        <w:t xml:space="preserve"> передає частку у розмірі </w:t>
      </w:r>
      <w:r>
        <w:rPr>
          <w:b/>
          <w:bCs/>
          <w:shd w:fill="FFF176" w:val="clear"/>
        </w:rPr>
        <w:t xml:space="preserve">499 649 (чотириста дев’яносто дев’ять тисяч шістсот сорок дев’ять) гривень 97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75 %</w:t>
      </w:r>
      <w:r>
        <w:t xml:space="preserve"> статутного капіталу Товариства.</w:t>
      </w:r>
    </w:p>
    <w:p>
      <w:pPr>
        <w:spacing w:after="70"/>
        <w:ind w:left="280"/>
      </w:pPr>
      <w:r>
        <w:t xml:space="preserve">1.3. </w:t>
      </w:r>
      <w:r>
        <w:rPr>
          <w:b/>
          <w:bCs/>
          <w:shd w:fill="FFF176" w:val="clear"/>
        </w:rPr>
        <w:t xml:space="preserve">ТОВ «ОРЛОГО»</w:t>
      </w:r>
      <w:r>
        <w:t xml:space="preserve"> передає частку у розмірі </w:t>
      </w:r>
      <w:r>
        <w:rPr>
          <w:b/>
          <w:bCs/>
          <w:shd w:fill="FFF176" w:val="clear"/>
        </w:rPr>
        <w:t xml:space="preserve">166 549 (сто шістдесят шість тисяч п’ятсот сорок дев’ять) гривень 99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25 %</w:t>
      </w:r>
      <w:r>
        <w:t xml:space="preserve"> статутного капіталу Товариства.</w:t>
      </w:r>
    </w:p>
    <w:p>
      <w:pPr>
        <w:spacing w:after="70"/>
        <w:ind w:left="280"/>
      </w:pPr>
      <w:r>
        <w:t xml:space="preserve">1.4. Разом із передачею часток Продавці передають, а Покупець приймає на себе всі права та обов’язки учасників Товариства.</w:t>
      </w:r>
    </w:p>
    <w:p>
      <w:pPr>
        <w:spacing w:after="70"/>
        <w:ind w:left="280"/>
      </w:pPr>
      <w:r>
        <w:t xml:space="preserve">1.5. Відомості про Товариство: організаційно-правова форма — товариство з обмеженою відповідальністю; повне найменування — ТОВАРИСТВО З ОБМЕЖЕНОЮ ВІДПОВІДАЛЬНІСТЮ «АТМАКАЛІ»; ідентифікаційний код — 44733622.</w:t>
      </w:r>
    </w:p>
    <w:p>
      <w:pPr>
        <w:spacing w:after="70"/>
        <w:ind w:left="280"/>
      </w:pPr>
      <w:r>
        <w:t xml:space="preserve">1.6. Продавці стверджують, що частки не обтяжені правами третіх осіб, не є предметом спору, судового розгляду, застави чи інших майнових претензій.</w:t>
      </w:r>
    </w:p>
    <w:p>
      <w:pPr>
        <w:spacing w:after="70"/>
        <w:ind w:left="280"/>
      </w:pPr>
      <w:r>
        <w:t xml:space="preserve">1.7. Покупець обізнаний про характер діяльності та фінансовий стан Товариства на момент укладення цього Договору.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2. ВАРТІСТЬ ЧАСТОК ТА ПОРЯДОК РОЗРАХУНКІВ</w:t>
      </w:r>
    </w:p>
    <w:p>
      <w:pPr>
        <w:spacing w:after="70"/>
        <w:ind w:left="280"/>
      </w:pPr>
      <w:r>
        <w:t xml:space="preserve">2.1. Вартість частки за п. 1.2 визначена за домовленістю Сторін і складає </w:t>
      </w:r>
      <w:r>
        <w:rPr>
          <w:b/>
          <w:bCs/>
          <w:shd w:fill="FFF176" w:val="clear"/>
        </w:rPr>
        <w:t xml:space="preserve">499 649 (чотириста дев’яносто дев’ять тисяч шістсот сорок дев’ять) гривень 97 копійок</w:t>
      </w:r>
      <w:r>
        <w:t xml:space="preserve">.</w:t>
      </w:r>
    </w:p>
    <w:p>
      <w:pPr>
        <w:spacing w:after="70"/>
        <w:ind w:left="280"/>
      </w:pPr>
      <w:r>
        <w:t xml:space="preserve">2.2. Вартість частки за п. 1.3 визначена за домовленістю Сторін і складає </w:t>
      </w:r>
      <w:r>
        <w:rPr>
          <w:b/>
          <w:bCs/>
          <w:shd w:fill="FFF176" w:val="clear"/>
        </w:rPr>
        <w:t xml:space="preserve">166 549 (сто шістдесят шість тисяч п’ятсот сорок дев’ять) гривень 99 копійок</w:t>
      </w:r>
      <w:r>
        <w:t xml:space="preserve">.</w:t>
      </w:r>
    </w:p>
    <w:p>
      <w:pPr>
        <w:spacing w:after="70"/>
        <w:ind w:left="280"/>
      </w:pPr>
      <w:r>
        <w:t xml:space="preserve">2.3. Розрахунок з кожним Продавцем проводиться </w:t>
      </w:r>
      <w:r>
        <w:rPr>
          <w:b/>
          <w:bCs/>
          <w:shd w:fill="FFF176" w:val="clear"/>
        </w:rPr>
        <w:t xml:space="preserve">у повному обсязі до підписання цього Договору</w:t>
      </w:r>
      <w:r>
        <w:t xml:space="preserve">. Підписанням цього Договору Продавці підтверджують, що кошти отримані в повному обсязі, і претензій щодо розрахунку не мають.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3. ПОРЯДОК ПЕРЕХОДУ ПРАВА ВЛАСНОСТІ</w:t>
      </w:r>
    </w:p>
    <w:p>
      <w:pPr>
        <w:spacing w:after="70"/>
        <w:ind w:left="280"/>
      </w:pPr>
      <w:r>
        <w:t xml:space="preserve">3.1. Право власності на частки переходить до Покупця з моменту підписання Акта приймання-передачі частки та нотаріального засвідчення справжності підписів на ньому.</w:t>
      </w:r>
    </w:p>
    <w:p>
      <w:pPr>
        <w:spacing w:after="70"/>
        <w:ind w:left="280"/>
      </w:pPr>
      <w:r>
        <w:t xml:space="preserve">3.2. Корпоративні права учасника Товариства виникають у Покупця одночасно з набуттям права власності на Частку (стаття 96-1 частина друга Цивільного кодексу України). Запис у Єдиному державному реєстрі підтверджує це перед Товариством і третіми особами.</w:t>
      </w:r>
    </w:p>
    <w:p>
      <w:pPr>
        <w:spacing w:after="70"/>
        <w:ind w:left="280"/>
      </w:pPr>
      <w:r>
        <w:t xml:space="preserve">3.3. З моменту державної реєстрації змін Продавці втрачають права та обов’язки учасників Товариства, а Покупець набуває їх у повному обсязі.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4. ВІДПОВІДАЛЬНІСТЬ ТА ВИРІШЕННЯ СПОРІВ</w:t>
      </w:r>
    </w:p>
    <w:p>
      <w:pPr>
        <w:spacing w:after="70"/>
        <w:ind w:left="280"/>
      </w:pPr>
      <w:r>
        <w:t xml:space="preserve">4.1. Сторони несуть відповідальність за невиконання або неналежне виконання зобов’язань за цим Договором згідно з чинним законодавством України.</w:t>
      </w:r>
    </w:p>
    <w:p>
      <w:pPr>
        <w:spacing w:after="70"/>
        <w:ind w:left="280"/>
      </w:pPr>
      <w:r>
        <w:t xml:space="preserve">4.2. Сторона, яка не виконала або неналежним чином виконала обов’язки за цим Договором, зобов’язана відшкодувати іншій Стороні завдану майнову та немайнову шкоду.</w:t>
      </w:r>
    </w:p>
    <w:p>
      <w:pPr>
        <w:spacing w:after="70"/>
        <w:ind w:left="280"/>
      </w:pPr>
      <w:r>
        <w:t xml:space="preserve">4.3. Спори вирішуються шляхом переговорів, а у разі недосягнення згоди — судом відповідно до чинного законодавства України.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5. ДІЯ ДОГОВОРУ ТА ІНШІ УМОВИ</w:t>
      </w:r>
    </w:p>
    <w:p>
      <w:pPr>
        <w:spacing w:after="70"/>
        <w:ind w:left="280"/>
      </w:pPr>
      <w:r>
        <w:t xml:space="preserve">5.1. Договір набуває чинності з моменту підписання і діє до повного виконання Сторонами зобов’язань.</w:t>
      </w:r>
    </w:p>
    <w:p>
      <w:pPr>
        <w:spacing w:after="70"/>
        <w:ind w:left="280"/>
      </w:pPr>
      <w:r>
        <w:t xml:space="preserve">5.2. Зміна або розірвання Договору оформлюється додатковою угодою у письмовій формі, підписаною Сторонами.</w:t>
      </w:r>
    </w:p>
    <w:p>
      <w:pPr>
        <w:spacing w:after="70"/>
        <w:ind w:left="280"/>
      </w:pPr>
      <w:r>
        <w:t xml:space="preserve">5.3. Кожна Сторона несе відповідальність за правильність вказаних нею реквізитів і зобов’язується письмово повідомляти іншу Сторону про їх зміну.</w:t>
      </w:r>
    </w:p>
    <w:p>
      <w:pPr>
        <w:spacing w:after="70"/>
        <w:ind w:left="280"/>
      </w:pPr>
      <w:r>
        <w:t xml:space="preserve">5.4. Договір складений українською мовою у </w:t>
      </w:r>
      <w:r>
        <w:rPr>
          <w:b/>
          <w:bCs/>
          <w:shd w:fill="FFF176" w:val="clear"/>
        </w:rPr>
        <w:t xml:space="preserve">3 (трьох)</w:t>
      </w:r>
      <w:r>
        <w:t xml:space="preserve"> примірниках, по одному для кожної Сторони.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6. ПІДПИСИ СТОРІН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Продавець: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Любич О. А.</w:t>
            </w:r>
          </w:p>
        </w:tc>
      </w:tr>
    </w:tbl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Продавець</w:t>
            </w:r>
          </w:p>
          <w:p>
            <w:r>
              <w:rPr>
                <w:b/>
                <w:bCs/>
                <w:sz w:val="20"/>
                <w:szCs w:val="20"/>
              </w:rPr>
              <w:t xml:space="preserve">(юридична особа):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Калігора О. Й.</w:t>
            </w:r>
          </w:p>
        </w:tc>
      </w:tr>
    </w:tbl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Покупець: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Сосонний А. А.</w:t>
            </w:r>
          </w:p>
        </w:tc>
      </w:tr>
    </w:tbl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ЯК ЗАПОВНЮВАТИ</w:t>
      </w:r>
    </w:p>
    <w:p>
      <w:pPr>
        <w:spacing w:after="80"/>
      </w:pPr>
      <w:r>
        <w:rPr>
          <w:b/>
          <w:bCs/>
          <w:shd w:fill="FFF176" w:val="clear"/>
        </w:rPr>
        <w:t xml:space="preserve">ДОГОВІР №</w:t>
      </w:r>
      <w:r>
        <w:rPr>
          <w:sz w:val="19"/>
          <w:szCs w:val="19"/>
        </w:rPr>
        <w:t xml:space="preserve">  — ваша нумерація. Номер і дата мають дослівно збігатися з Актом приймання-передачі.</w:t>
      </w:r>
    </w:p>
    <w:p>
      <w:pPr>
        <w:spacing w:after="80"/>
      </w:pPr>
      <w:r>
        <w:rPr>
          <w:b/>
          <w:bCs/>
          <w:shd w:fill="FFF176" w:val="clear"/>
        </w:rPr>
        <w:t xml:space="preserve">дата</w:t>
      </w:r>
      <w:r>
        <w:rPr>
          <w:sz w:val="19"/>
          <w:szCs w:val="19"/>
        </w:rPr>
        <w:t xml:space="preserve">  — день підписання.</w:t>
      </w:r>
    </w:p>
    <w:p>
      <w:pPr>
        <w:spacing w:after="80"/>
      </w:pPr>
      <w:r>
        <w:rPr>
          <w:b/>
          <w:bCs/>
          <w:shd w:fill="FFF176" w:val="clear"/>
        </w:rPr>
        <w:t xml:space="preserve">дані Сторін</w:t>
      </w:r>
      <w:r>
        <w:rPr>
          <w:sz w:val="19"/>
          <w:szCs w:val="19"/>
        </w:rPr>
        <w:t xml:space="preserve">  — повністю, як у паспорті. Для юридичної особи — найменування, код ЄДРПОУ, місцезнаходження і підстава повноважень керівника.</w:t>
      </w:r>
    </w:p>
    <w:p>
      <w:pPr>
        <w:spacing w:after="80"/>
      </w:pPr>
      <w:r>
        <w:rPr>
          <w:b/>
          <w:bCs/>
          <w:shd w:fill="FFF176" w:val="clear"/>
        </w:rPr>
        <w:t xml:space="preserve">розміри часток</w:t>
      </w:r>
      <w:r>
        <w:rPr>
          <w:sz w:val="19"/>
          <w:szCs w:val="19"/>
        </w:rPr>
        <w:t xml:space="preserve">  — сума у гривнях і відсоток по кожному Продавцю окремо. Сума часток має дорівнювати загальному розміру з п. 1.1 і збігатися з даними ЄДР до копійки.</w:t>
      </w:r>
    </w:p>
    <w:p>
      <w:pPr>
        <w:spacing w:after="80"/>
      </w:pPr>
      <w:r>
        <w:rPr>
          <w:b/>
          <w:bCs/>
          <w:shd w:fill="FFF176" w:val="clear"/>
        </w:rPr>
        <w:t xml:space="preserve">вартість</w:t>
      </w:r>
      <w:r>
        <w:rPr>
          <w:sz w:val="19"/>
          <w:szCs w:val="19"/>
        </w:rPr>
        <w:t xml:space="preserve">  — ціна за домовленістю Сторін по кожній частці окремо.</w:t>
      </w:r>
    </w:p>
    <w:p>
      <w:pPr>
        <w:spacing w:after="80"/>
      </w:pPr>
      <w:r>
        <w:rPr>
          <w:b/>
          <w:bCs/>
          <w:shd w:fill="FFF176" w:val="clear"/>
        </w:rPr>
        <w:t xml:space="preserve">розрахунок до підписання</w:t>
      </w:r>
      <w:r>
        <w:rPr>
          <w:sz w:val="19"/>
          <w:szCs w:val="19"/>
        </w:rPr>
        <w:t xml:space="preserve">  — безпечний варіант. Розстрочка можлива, але тоді Продавець віддає частку і чекає — це окремий ризик.</w:t>
      </w:r>
    </w:p>
    <w:p>
      <w:pPr>
        <w:spacing w:after="80"/>
      </w:pPr>
      <w:r>
        <w:rPr>
          <w:b/>
          <w:bCs/>
          <w:shd w:fill="FFF176" w:val="clear"/>
        </w:rPr>
        <w:t xml:space="preserve">підстава повноважень директора</w:t>
      </w:r>
      <w:r>
        <w:rPr>
          <w:sz w:val="19"/>
          <w:szCs w:val="19"/>
        </w:rPr>
        <w:t xml:space="preserve">  — Статут. Якщо Статут вимагає рішення учасників на відчуження частки — рішення оформлюється до підписання Договору, і на нього посилаються тут.</w:t>
      </w:r>
    </w:p>
    <w:p>
      <w:pPr>
        <w:spacing w:after="80"/>
      </w:pPr>
      <w:r>
        <w:rPr>
          <w:b/>
          <w:bCs/>
          <w:shd w:fill="FFF176" w:val="clear"/>
        </w:rPr>
        <w:t xml:space="preserve">кількість примірників</w:t>
      </w:r>
      <w:r>
        <w:rPr>
          <w:sz w:val="19"/>
          <w:szCs w:val="19"/>
        </w:rPr>
        <w:t xml:space="preserve">  — по одному кожній Стороні. Нотаріус може вимагати додатковий.</w:t>
      </w:r>
    </w:p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ЩО РОБИТИ ПІСЛЯ</w:t>
      </w:r>
    </w:p>
    <w:p>
      <w:pPr>
        <w:spacing w:after="60"/>
      </w:pPr>
      <w:r>
        <w:rPr>
          <w:sz w:val="19"/>
          <w:szCs w:val="19"/>
        </w:rPr>
        <w:t xml:space="preserve">• Акт приймання-передачі частки — підписати всіма Сторонами і засвідчити підписи в нотаріуса. Реєстратору подається Акт, а не Договір.</w:t>
      </w:r>
    </w:p>
    <w:p>
      <w:pPr>
        <w:spacing w:after="60"/>
      </w:pPr>
      <w:r>
        <w:rPr>
          <w:sz w:val="19"/>
          <w:szCs w:val="19"/>
        </w:rPr>
        <w:t xml:space="preserve">• Реєстраційна дія: заява про державну реєстрацію змін до відомостей про юридичну особу. Розгляд — 24 години, крім вихідних і святкових.</w:t>
      </w:r>
    </w:p>
    <w:p>
      <w:pPr>
        <w:spacing w:after="60"/>
      </w:pPr>
      <w:r>
        <w:rPr>
          <w:sz w:val="19"/>
          <w:szCs w:val="19"/>
        </w:rPr>
        <w:t xml:space="preserve">• Юридична особа-продавець: перевірити, чи не потрібне рішення її учасників на відчуження частки. Вимога залежить від Статуту продавця.</w:t>
      </w:r>
    </w:p>
    <w:p>
      <w:pPr>
        <w:spacing w:after="60"/>
      </w:pPr>
      <w:r>
        <w:rPr>
          <w:sz w:val="19"/>
          <w:szCs w:val="19"/>
        </w:rPr>
        <w:t xml:space="preserve">• Податок: дохід від продажу інвестиційного активу декларується кожним Продавцем окремо.</w:t>
      </w:r>
    </w:p>
    <w:p>
      <w:pPr>
        <w:spacing w:after="100" w:before="200"/>
      </w:pPr>
      <w:r>
        <w:rPr>
          <w:b/>
          <w:bCs/>
          <w:sz w:val="20"/>
          <w:szCs w:val="20"/>
        </w:rPr>
        <w:t xml:space="preserve">ТИПОВІ ПОМИЛКИ</w:t>
      </w:r>
    </w:p>
    <w:p>
      <w:pPr>
        <w:spacing w:after="60"/>
      </w:pPr>
      <w:r>
        <w:rPr>
          <w:sz w:val="19"/>
          <w:szCs w:val="19"/>
        </w:rPr>
        <w:t xml:space="preserve">• Сума часток у п. 1.2 і п. 1.3 не дорівнює загальному розміру з п. 1.1.</w:t>
      </w:r>
    </w:p>
    <w:p>
      <w:pPr>
        <w:spacing w:after="60"/>
      </w:pPr>
      <w:r>
        <w:rPr>
          <w:sz w:val="19"/>
          <w:szCs w:val="19"/>
        </w:rPr>
        <w:t xml:space="preserve">• Назва Продавця в п. 1.3 не збігається з преамбулою.</w:t>
      </w:r>
    </w:p>
    <w:p>
      <w:pPr>
        <w:spacing w:after="60"/>
      </w:pPr>
      <w:r>
        <w:rPr>
          <w:sz w:val="19"/>
          <w:szCs w:val="19"/>
        </w:rPr>
        <w:t xml:space="preserve">• Номер або дата Договору не збігається з Актом.</w:t>
      </w:r>
    </w:p>
    <w:p>
      <w:pPr>
        <w:spacing w:after="60"/>
      </w:pPr>
      <w:r>
        <w:rPr>
          <w:sz w:val="19"/>
          <w:szCs w:val="19"/>
        </w:rPr>
        <w:t xml:space="preserve">• Договір подано реєстратору замість Акта.</w:t>
      </w:r>
    </w:p>
    <w:p>
      <w:pPr>
        <w:pBdr>
          <w:bottom w:val="single" w:color="666666" w:sz="6"/>
        </w:pBdr>
        <w:spacing w:after="160"/>
      </w:pPr>
    </w:p>
    <w:p>
      <w:pPr>
        <w:spacing w:after="120"/>
      </w:pPr>
      <w:r>
        <w:rPr>
          <w:i/>
          <w:iCs/>
          <w:sz w:val="18"/>
          <w:szCs w:val="18"/>
        </w:rPr>
        <w:t xml:space="preserve">Це зразок, а не документ під конкретну ситуацію. Реквізити ТОВ «АТМАКАЛІ» у зразку — справжні, це наша компанія; усі персональні дані вигадані. Формулювання залежать від Статуту, складу учасників та обставин. Перед підписанням перевірте документ або зверніться за юридичним супроводом: atmakali.kiev.ua</w:t>
      </w:r>
    </w:p>
    <w:p>
      <w:r>
        <w:rPr>
          <w:color w:val="595959"/>
          <w:sz w:val="17"/>
          <w:szCs w:val="17"/>
        </w:rPr>
        <w:t xml:space="preserve">Складено 17.08.2026 за нормами: ЦК України № 435-IV · Закон № 2275-VIII про ТОВ · Закон № 755-IV про державну реєстрацію · ПК України № 2755-VI.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2026-08-25T11:38:50.366Z</dcterms:created>
  <dcterms:modified xsi:type="dcterms:W3CDTF">2026-08-25T11:38:50.366Z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